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FD257">
      <w:pPr>
        <w:spacing w:before="200"/>
      </w:pPr>
      <w:bookmarkStart w:id="0" w:name="_GoBack"/>
      <w:bookmarkEnd w:id="0"/>
    </w:p>
    <w:p w14:paraId="063C98B2">
      <w:pPr>
        <w:spacing w:before="200"/>
      </w:pPr>
    </w:p>
    <w:p w14:paraId="3BF00476">
      <w:pPr>
        <w:spacing w:before="200"/>
      </w:pPr>
    </w:p>
    <w:p w14:paraId="5C8A9E25">
      <w:pPr>
        <w:spacing w:before="200"/>
      </w:pPr>
    </w:p>
    <w:p w14:paraId="06804D29">
      <w:pPr>
        <w:spacing w:before="200"/>
      </w:pPr>
    </w:p>
    <w:p w14:paraId="4CAC6BBE">
      <w:pPr>
        <w:spacing w:after="200"/>
        <w:jc w:val="center"/>
      </w:pPr>
      <w:r>
        <w:rPr>
          <w:rFonts w:ascii="微软雅黑" w:hAnsi="微软雅黑" w:eastAsia="微软雅黑" w:cs="微软雅黑"/>
          <w:b/>
          <w:bCs/>
          <w:color w:val="1F4E79"/>
          <w:sz w:val="28"/>
          <w:szCs w:val="28"/>
        </w:rPr>
        <w:t>EY | Ernst &amp; Young</w:t>
      </w:r>
    </w:p>
    <w:p w14:paraId="41736D88">
      <w:pPr>
        <w:pBdr>
          <w:bottom w:val="single" w:color="1F4E79" w:sz="8" w:space="8"/>
        </w:pBdr>
        <w:spacing w:after="100"/>
        <w:jc w:val="center"/>
      </w:pPr>
      <w:r>
        <w:rPr>
          <w:rFonts w:ascii="微软雅黑" w:hAnsi="微软雅黑" w:eastAsia="微软雅黑" w:cs="微软雅黑"/>
          <w:color w:val="666666"/>
          <w:sz w:val="22"/>
          <w:szCs w:val="22"/>
        </w:rPr>
        <w:t>Strategy &amp; Transactions Advisory</w:t>
      </w:r>
    </w:p>
    <w:p w14:paraId="6B14C24F">
      <w:pPr>
        <w:spacing w:before="200"/>
      </w:pPr>
    </w:p>
    <w:p w14:paraId="46B4B648">
      <w:pPr>
        <w:spacing w:before="200"/>
      </w:pPr>
    </w:p>
    <w:p w14:paraId="0CE88C65">
      <w:pPr>
        <w:spacing w:after="120"/>
        <w:jc w:val="center"/>
      </w:pPr>
      <w:r>
        <w:rPr>
          <w:rFonts w:ascii="微软雅黑" w:hAnsi="微软雅黑" w:eastAsia="微软雅黑" w:cs="微软雅黑"/>
          <w:b/>
          <w:bCs/>
          <w:color w:val="1F4E79"/>
          <w:sz w:val="44"/>
          <w:szCs w:val="44"/>
        </w:rPr>
        <w:t>小米集团</w:t>
      </w:r>
    </w:p>
    <w:p w14:paraId="75F291A2">
      <w:pPr>
        <w:spacing w:after="200"/>
        <w:jc w:val="center"/>
      </w:pPr>
      <w:r>
        <w:rPr>
          <w:rFonts w:ascii="微软雅黑" w:hAnsi="微软雅黑" w:eastAsia="微软雅黑" w:cs="微软雅黑"/>
          <w:b/>
          <w:bCs/>
          <w:color w:val="2E75B6"/>
          <w:sz w:val="40"/>
          <w:szCs w:val="40"/>
        </w:rPr>
        <w:t>智能家居业务战略决策报告</w:t>
      </w:r>
    </w:p>
    <w:p w14:paraId="163523BE">
      <w:pPr>
        <w:spacing w:after="60"/>
        <w:jc w:val="center"/>
      </w:pPr>
      <w:r>
        <w:rPr>
          <w:rFonts w:ascii="微软雅黑" w:hAnsi="微软雅黑" w:eastAsia="微软雅黑" w:cs="微软雅黑"/>
          <w:color w:val="666666"/>
          <w:sz w:val="22"/>
          <w:szCs w:val="22"/>
        </w:rPr>
        <w:t>—— 基于行业研究·竞争分析·SWOT诊断的战略建议 ——</w:t>
      </w:r>
    </w:p>
    <w:p w14:paraId="37927B5E">
      <w:pPr>
        <w:spacing w:before="200"/>
      </w:pPr>
    </w:p>
    <w:p w14:paraId="67460073">
      <w:pPr>
        <w:spacing w:before="200"/>
      </w:pPr>
    </w:p>
    <w:p w14:paraId="6A2C8A63">
      <w:pPr>
        <w:spacing w:before="200"/>
      </w:pPr>
    </w:p>
    <w:p w14:paraId="78CED582">
      <w:pPr>
        <w:spacing w:after="80"/>
        <w:jc w:val="center"/>
      </w:pPr>
      <w:r>
        <w:rPr>
          <w:rFonts w:ascii="微软雅黑" w:hAnsi="微软雅黑" w:eastAsia="微软雅黑" w:cs="微软雅黑"/>
          <w:color w:val="999999"/>
          <w:sz w:val="22"/>
          <w:szCs w:val="22"/>
        </w:rPr>
        <w:t>机密 | Confidential</w:t>
      </w:r>
    </w:p>
    <w:p w14:paraId="4FE67D28">
      <w:pPr>
        <w:jc w:val="center"/>
      </w:pPr>
      <w:r>
        <w:rPr>
          <w:rFonts w:ascii="微软雅黑" w:hAnsi="微软雅黑" w:eastAsia="微软雅黑" w:cs="微软雅黑"/>
          <w:color w:val="999999"/>
          <w:sz w:val="22"/>
          <w:szCs w:val="22"/>
        </w:rPr>
        <w:t>2026年5月</w:t>
      </w:r>
    </w:p>
    <w:p w14:paraId="209A5A02">
      <w:pPr>
        <w:sectPr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7CD4AAC5">
      <w:pPr>
        <w:pStyle w:val="2"/>
      </w:pPr>
      <w:r>
        <w:rPr>
          <w:rFonts w:ascii="微软雅黑" w:hAnsi="微软雅黑" w:eastAsia="微软雅黑" w:cs="微软雅黑"/>
        </w:rPr>
        <w:t>目录</w:t>
      </w:r>
    </w:p>
    <w:sdt>
      <w:sdtPr>
        <w:alias w:val="TOC"/>
        <w:id w:val="135760952"/>
      </w:sdtPr>
      <w:sdtContent>
        <w:p w14:paraId="68903B73">
          <w:r>
            <w:fldChar w:fldCharType="begin"/>
          </w:r>
          <w:r>
            <w:instrText xml:space="preserve">TOC \h \o "1-3"</w:instrText>
          </w:r>
          <w:r>
            <w:fldChar w:fldCharType="separate"/>
          </w:r>
        </w:p>
        <w:p w14:paraId="5E64DEBC">
          <w:r>
            <w:fldChar w:fldCharType="end"/>
          </w:r>
        </w:p>
      </w:sdtContent>
    </w:sdt>
    <w:p w14:paraId="219910E9">
      <w:pPr>
        <w:shd w:val="clear" w:fill="D6E4F0"/>
        <w:spacing w:before="200"/>
      </w:pPr>
      <w:r>
        <w:rPr>
          <w:rFonts w:ascii="微软雅黑" w:hAnsi="微软雅黑" w:eastAsia="微软雅黑" w:cs="微软雅黑"/>
          <w:i/>
          <w:iCs/>
          <w:color w:val="666666"/>
          <w:sz w:val="18"/>
          <w:szCs w:val="18"/>
        </w:rPr>
        <w:t xml:space="preserve">  注：请在Word中右键点击目录并选择“更新域”以生成页码</w:t>
      </w:r>
    </w:p>
    <w:p w14:paraId="6BCF7C82">
      <w:pPr>
        <w:sectPr>
          <w:headerReference r:id="rId3" w:type="default"/>
          <w:footerReference r:id="rId4" w:type="default"/>
          <w:pgSz w:w="11906" w:h="16838"/>
          <w:pgMar w:top="1440" w:right="1440" w:bottom="1440" w:left="1440" w:header="708" w:footer="708" w:gutter="0"/>
          <w:cols w:space="720" w:num="1"/>
          <w:docGrid w:linePitch="360" w:charSpace="0"/>
        </w:sectPr>
      </w:pPr>
    </w:p>
    <w:p w14:paraId="4AB01EBD">
      <w:pPr>
        <w:pStyle w:val="2"/>
      </w:pPr>
      <w:r>
        <w:rPr>
          <w:rFonts w:ascii="微软雅黑" w:hAnsi="微软雅黑" w:eastAsia="微软雅黑" w:cs="微软雅黑"/>
        </w:rPr>
        <w:t>Executive Summary</w:t>
      </w:r>
    </w:p>
    <w:p w14:paraId="194583DF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本报告基于对智能家居行业的系统性研究（行业定义、发展历程、市场规模、PEST分析、产业链图谱）、竞争分析（四大阵营格局、小米SWOT、头部企业与创新企业对标、多维度评估矩阵）的综合成果，为小米集团智能家居业务提出战略决策建议。</w:t>
      </w:r>
    </w:p>
    <w:p w14:paraId="1430530E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0F1AF151">
        <w:tc>
          <w:tcPr>
            <w:tcW w:w="9026" w:type="dxa"/>
            <w:tcBorders>
              <w:top w:val="single" w:color="2E7D32" w:sz="6" w:space="0"/>
              <w:left w:val="single" w:color="2E7D32" w:sz="6" w:space="0"/>
              <w:bottom w:val="single" w:color="2E7D32" w:sz="0" w:space="0"/>
              <w:right w:val="single" w:color="2E7D32" w:sz="6" w:space="0"/>
            </w:tcBorders>
            <w:shd w:val="clear" w:color="auto" w:fill="E8F5E9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05656C5E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2"/>
                <w:szCs w:val="22"/>
              </w:rPr>
              <w:t xml:space="preserve">★ </w:t>
            </w:r>
            <w:r>
              <w:rPr>
                <w:rFonts w:ascii="微软雅黑" w:hAnsi="微软雅黑" w:eastAsia="微软雅黑" w:cs="微软雅黑"/>
                <w:b/>
                <w:bCs/>
                <w:color w:val="1B5E20"/>
                <w:sz w:val="22"/>
                <w:szCs w:val="22"/>
              </w:rPr>
              <w:t>核心结论：小米需要从“设备连接平台”向“智慧生活操作系统”转型</w:t>
            </w:r>
          </w:p>
        </w:tc>
      </w:tr>
      <w:tr w14:paraId="07C953C3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5F92847A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行业判断：智能家居已过“连接红利期”，竞争核心从“设备出货量”转向“生态连接数×场景深度×ARPU值”。</w:t>
            </w:r>
          </w:p>
        </w:tc>
      </w:tr>
      <w:tr w14:paraId="0D112EDD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2F8E52B5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小米诊断：生态规模全球第一（10.79亿台），但ARPU值偏低（级114元/台/年），“大而不强”风险显现。</w:t>
            </w:r>
          </w:p>
        </w:tc>
      </w:tr>
      <w:tr w14:paraId="2AB4A48C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12542A06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战略方向：以AI大模型驱动的“主动服务”能力为核心，实现从“硬件卖一次”到“服务收一生”的商业模式升级。</w:t>
            </w:r>
          </w:p>
        </w:tc>
      </w:tr>
      <w:tr w14:paraId="29134EC0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33765BCA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三大战略举措：① AI主动服务升级（打开ARPU天花板）、② 下沉市场+适老化双引擎（抓住结构性增量）、③ “人车家”数据飞轮（强化生态壁垒）。</w:t>
            </w:r>
          </w:p>
        </w:tc>
      </w:tr>
      <w:tr w14:paraId="43B546A6">
        <w:tc>
          <w:tcPr>
            <w:tcW w:w="9026" w:type="dxa"/>
            <w:tcBorders>
              <w:top w:val="nil"/>
              <w:left w:val="single" w:color="2E7D32" w:sz="6" w:space="0"/>
              <w:bottom w:val="single" w:color="2E7D32" w:sz="6" w:space="0"/>
              <w:right w:val="single" w:color="2E7D32" w:sz="6" w:space="0"/>
            </w:tcBorders>
            <w:shd w:val="clear" w:color="auto" w:fill="E8F5E9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57B92936"/>
        </w:tc>
      </w:tr>
    </w:tbl>
    <w:p w14:paraId="2A322EDE">
      <w:r>
        <w:br w:type="page"/>
      </w:r>
    </w:p>
    <w:p w14:paraId="45ABA0D1">
      <w:pPr>
        <w:pStyle w:val="2"/>
      </w:pPr>
      <w:r>
        <w:rPr>
          <w:rFonts w:ascii="微软雅黑" w:hAnsi="微软雅黑" w:eastAsia="微软雅黑" w:cs="微软雅黑"/>
        </w:rPr>
        <w:t>一、战略环境诊断：行业处于什么阶段？</w:t>
      </w:r>
    </w:p>
    <w:p w14:paraId="5F11EF4E">
      <w:pPr>
        <w:pStyle w:val="3"/>
      </w:pPr>
      <w:r>
        <w:rPr>
          <w:rFonts w:ascii="微软雅黑" w:hAnsi="微软雅黑" w:eastAsia="微软雅黑" w:cs="微软雅黑"/>
        </w:rPr>
        <w:t>1.1 行业关键判断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0"/>
        <w:gridCol w:w="3263"/>
        <w:gridCol w:w="3263"/>
      </w:tblGrid>
      <w:tr w14:paraId="2DC77EC0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432A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判断维度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384A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核心发现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D00C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战略含义</w:t>
            </w:r>
          </w:p>
        </w:tc>
      </w:tr>
      <w:tr w14:paraId="7E7357C9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B0469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市场规模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BE7FF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2025年突破1.2万亿元，渗透率仅~14.5%，远低于美国~40%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DB2079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市场仍处于增长中早期，窗口期至少还5年</w:t>
            </w:r>
          </w:p>
        </w:tc>
      </w:tr>
      <w:tr w14:paraId="123051DE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92168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竞争格局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7E28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CR3=88%（小米38%+海尔31%+华为19%），但子品类分化显著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7C1A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第一梁队稳定，但细分场景仍有大量机会</w:t>
            </w:r>
          </w:p>
        </w:tc>
      </w:tr>
      <w:tr w14:paraId="5E9C6658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FDD4E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技术拐点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755C5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AI大模型+Matter协议+边缘计算三大技术同步成熟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C132B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行业从2.0互联迈向3.0主动智能，窗口期约1-2年</w:t>
            </w:r>
          </w:p>
        </w:tc>
      </w:tr>
      <w:tr w14:paraId="7C6D3707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3890E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政策环境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26EF5B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“以旧换新”+数字家庭建设+“十五五”规划多重利好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AAEA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政策红利窗口期，但数据安全监管趋严</w:t>
            </w:r>
          </w:p>
        </w:tc>
      </w:tr>
      <w:tr w14:paraId="293E5430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2EFAF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消费趋势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8BFD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下沉市场增速&gt;50%，适老化场景崛起，场景化采购取代单品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896D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性价比模式天然匹配下沉市场，这是小米的结构性优势</w:t>
            </w:r>
          </w:p>
        </w:tc>
      </w:tr>
    </w:tbl>
    <w:p w14:paraId="3911D126">
      <w:pPr>
        <w:spacing w:before="40" w:after="60"/>
      </w:pPr>
      <w:r>
        <w:rPr>
          <w:rFonts w:ascii="微软雅黑" w:hAnsi="微软雅黑" w:eastAsia="微软雅黑" w:cs="微软雅黑"/>
          <w:i/>
          <w:iCs/>
          <w:color w:val="888888"/>
          <w:sz w:val="18"/>
          <w:szCs w:val="18"/>
        </w:rPr>
        <w:t>数据来源：基于前期行业研究报告、PEST分析、竞争分析报告综合整理</w:t>
      </w:r>
    </w:p>
    <w:p w14:paraId="303B37EC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4365F17F">
        <w:tc>
          <w:tcPr>
            <w:tcW w:w="9026" w:type="dxa"/>
            <w:tcBorders>
              <w:top w:val="single" w:color="F5A623" w:sz="6" w:space="0"/>
              <w:left w:val="single" w:color="F5A623" w:sz="6" w:space="0"/>
              <w:bottom w:val="single" w:color="F5A623" w:sz="0" w:space="0"/>
              <w:right w:val="single" w:color="F5A623" w:sz="6" w:space="0"/>
            </w:tcBorders>
            <w:shd w:val="clear" w:color="auto" w:fill="FFF8E1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6390BC97">
            <w:r>
              <w:rPr>
                <w:rFonts w:ascii="微软雅黑" w:hAnsi="微软雅黑" w:eastAsia="微软雅黑" w:cs="微软雅黑"/>
                <w:b/>
                <w:bCs/>
                <w:color w:val="F5A623"/>
                <w:sz w:val="22"/>
                <w:szCs w:val="22"/>
              </w:rPr>
              <w:t xml:space="preserve">◆ </w:t>
            </w: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2"/>
                <w:szCs w:val="22"/>
              </w:rPr>
              <w:t>EY判断：行业正处于“连接红利期”向“智慧服务期”过渡的关键窗口</w:t>
            </w:r>
          </w:p>
        </w:tc>
      </w:tr>
      <w:tr w14:paraId="3761CEB8">
        <w:tc>
          <w:tcPr>
            <w:tcW w:w="9026" w:type="dxa"/>
            <w:tcBorders>
              <w:top w:val="nil"/>
              <w:left w:val="single" w:color="F5A623" w:sz="6" w:space="0"/>
              <w:bottom w:val="nil"/>
              <w:right w:val="single" w:color="F5A623" w:sz="6" w:space="0"/>
            </w:tcBorders>
            <w:shd w:val="clear" w:color="auto" w:fill="FFF8E1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55A74F7D">
            <w:r>
              <w:rPr>
                <w:rFonts w:ascii="微软雅黑" w:hAnsi="微软雅黑" w:eastAsia="微软雅黑" w:cs="微软雅黑"/>
                <w:color w:val="F5A623"/>
                <w:sz w:val="20"/>
                <w:szCs w:val="20"/>
              </w:rPr>
              <w:t xml:space="preserve">→ </w:t>
            </w:r>
            <w:r>
              <w:rPr>
                <w:rFonts w:ascii="微软雅黑" w:hAnsi="微软雅黑" w:eastAsia="微软雅黑" w:cs="微软雅黑"/>
                <w:color w:val="555555"/>
                <w:sz w:val="20"/>
                <w:szCs w:val="20"/>
              </w:rPr>
              <w:t>过去5年的增长主要靠“连接更多设备”驱动，但连接数的边际价值在递减——10.79亿台和10亿台的差别，远不如1亿台和10亿台的差别大。</w:t>
            </w:r>
          </w:p>
        </w:tc>
      </w:tr>
      <w:tr w14:paraId="463D648D">
        <w:tc>
          <w:tcPr>
            <w:tcW w:w="9026" w:type="dxa"/>
            <w:tcBorders>
              <w:top w:val="nil"/>
              <w:left w:val="single" w:color="F5A623" w:sz="6" w:space="0"/>
              <w:bottom w:val="nil"/>
              <w:right w:val="single" w:color="F5A623" w:sz="6" w:space="0"/>
            </w:tcBorders>
            <w:shd w:val="clear" w:color="auto" w:fill="FFF8E1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129BD5FD">
            <w:r>
              <w:rPr>
                <w:rFonts w:ascii="微软雅黑" w:hAnsi="微软雅黑" w:eastAsia="微软雅黑" w:cs="微软雅黑"/>
                <w:color w:val="F5A623"/>
                <w:sz w:val="20"/>
                <w:szCs w:val="20"/>
              </w:rPr>
              <w:t xml:space="preserve">→ </w:t>
            </w:r>
            <w:r>
              <w:rPr>
                <w:rFonts w:ascii="微软雅黑" w:hAnsi="微软雅黑" w:eastAsia="微软雅黑" w:cs="微软雅黑"/>
                <w:color w:val="555555"/>
                <w:sz w:val="20"/>
                <w:szCs w:val="20"/>
              </w:rPr>
              <w:t>未来1-2年是“占位”的关键窗口：AI大模型技术成熟度刚好达到“可用”阈值，谁先落地“主动服务”谁就掌握下一阶段的定价权。</w:t>
            </w:r>
          </w:p>
        </w:tc>
      </w:tr>
      <w:tr w14:paraId="3497308E">
        <w:tc>
          <w:tcPr>
            <w:tcW w:w="9026" w:type="dxa"/>
            <w:tcBorders>
              <w:top w:val="nil"/>
              <w:left w:val="single" w:color="F5A623" w:sz="6" w:space="0"/>
              <w:bottom w:val="single" w:color="F5A623" w:sz="6" w:space="0"/>
              <w:right w:val="single" w:color="F5A623" w:sz="6" w:space="0"/>
            </w:tcBorders>
            <w:shd w:val="clear" w:color="auto" w:fill="FFF8E1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6DC3E954"/>
        </w:tc>
      </w:tr>
    </w:tbl>
    <w:p w14:paraId="7225D324">
      <w:r>
        <w:br w:type="page"/>
      </w:r>
    </w:p>
    <w:p w14:paraId="5F9371E5">
      <w:pPr>
        <w:pStyle w:val="2"/>
      </w:pPr>
      <w:r>
        <w:rPr>
          <w:rFonts w:ascii="微软雅黑" w:hAnsi="微软雅黑" w:eastAsia="微软雅黑" w:cs="微软雅黑"/>
        </w:rPr>
        <w:t>二、小米竞争力诊断：“大而不强”的结构性风险</w:t>
      </w:r>
    </w:p>
    <w:p w14:paraId="12B30559">
      <w:pPr>
        <w:pStyle w:val="3"/>
      </w:pPr>
      <w:r>
        <w:rPr>
          <w:rFonts w:ascii="微软雅黑" w:hAnsi="微软雅黑" w:eastAsia="微软雅黑" w:cs="微软雅黑"/>
        </w:rPr>
        <w:t>2.1 竞争公式评估</w:t>
      </w:r>
    </w:p>
    <w:p w14:paraId="1DC3DA34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基于前期竞争分析，我们提出智能家居行业的新竞争公式：“生态连接数 × 场景深度 × ARPU值”。以此公式评估小米的竞争位置：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1500"/>
        <w:gridCol w:w="1500"/>
        <w:gridCol w:w="1500"/>
        <w:gridCol w:w="2726"/>
      </w:tblGrid>
      <w:tr w14:paraId="1A1DCFBE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97D5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变量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96B6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小米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FE512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华为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3150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海尔</w:t>
            </w:r>
          </w:p>
        </w:tc>
        <w:tc>
          <w:tcPr>
            <w:tcW w:w="27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800E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小米的问题</w:t>
            </w:r>
          </w:p>
        </w:tc>
      </w:tr>
      <w:tr w14:paraId="3FA7E823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AF47C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生态连接数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F5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53A7C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906B8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43A82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</w:t>
            </w:r>
          </w:p>
        </w:tc>
        <w:tc>
          <w:tcPr>
            <w:tcW w:w="27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5E1E1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全球第一，但边际价值递减</w:t>
            </w:r>
          </w:p>
        </w:tc>
      </w:tr>
      <w:tr w14:paraId="77791F59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478AA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场景深度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5F89C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CB19A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F5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89A66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★★★★★</w:t>
            </w:r>
          </w:p>
        </w:tc>
        <w:tc>
          <w:tcPr>
            <w:tcW w:w="27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40D2C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200+品类但“广而不深”，场景串联体验待提升</w:t>
            </w:r>
          </w:p>
        </w:tc>
      </w:tr>
      <w:tr w14:paraId="3C0CC257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C9EB87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ARPU值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CE4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73C7D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4239E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</w:t>
            </w:r>
          </w:p>
        </w:tc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9B90C6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★★★★</w:t>
            </w:r>
          </w:p>
        </w:tc>
        <w:tc>
          <w:tcPr>
            <w:tcW w:w="2726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CE4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2DC8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级114元/台/年，远低于海尔全屋方案客单价</w:t>
            </w:r>
          </w:p>
        </w:tc>
      </w:tr>
    </w:tbl>
    <w:p w14:paraId="3121740E">
      <w:pPr>
        <w:spacing w:before="200"/>
      </w:pPr>
    </w:p>
    <w:p w14:paraId="590154EC">
      <w:pPr>
        <w:pStyle w:val="3"/>
      </w:pPr>
      <w:r>
        <w:rPr>
          <w:rFonts w:ascii="微软雅黑" w:hAnsi="微软雅黑" w:eastAsia="微软雅黑" w:cs="微软雅黑"/>
        </w:rPr>
        <w:t>2.2 SWOT核心发现摘要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13"/>
        <w:gridCol w:w="4513"/>
      </w:tblGrid>
      <w:tr w14:paraId="40C29916"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2E7D3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D1C79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S 核心优势</w:t>
            </w:r>
          </w:p>
        </w:tc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651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7F402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W 核心劣势</w:t>
            </w:r>
          </w:p>
        </w:tc>
      </w:tr>
      <w:tr w14:paraId="6D723A74"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F5E9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3A6B96A8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10.79亿台连接设备，网络效应强大</w:t>
            </w:r>
          </w:p>
          <w:p w14:paraId="16E5886E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200+品类覆盖95%场景</w:t>
            </w:r>
          </w:p>
          <w:p w14:paraId="7A3DCB4A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2.98万入门全屋智能，降低采用门槛</w:t>
            </w:r>
          </w:p>
          <w:p w14:paraId="5F259064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“人车家全生态”闭环独一无二</w:t>
            </w:r>
          </w:p>
        </w:tc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0FA3E750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硬件毛利低，对互联网变现高度依赖</w:t>
            </w:r>
          </w:p>
          <w:p w14:paraId="4D35F2F3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大家电品牌信任度较海尔/美的有差距</w:t>
            </w:r>
          </w:p>
          <w:p w14:paraId="7DF5CEEA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专业安装服务能力较欧博瑞/绿米弱</w:t>
            </w:r>
          </w:p>
          <w:p w14:paraId="063E81F7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ARPU值偏低，“大而不强”风险显现</w:t>
            </w:r>
          </w:p>
        </w:tc>
      </w:tr>
      <w:tr w14:paraId="61924FEC"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565C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4C2D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O 核心机会</w:t>
            </w:r>
          </w:p>
        </w:tc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C6282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B0E1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T 核心威胁</w:t>
            </w:r>
          </w:p>
        </w:tc>
      </w:tr>
      <w:tr w14:paraId="69623375"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3F2FD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1124F505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下沉市场增速&gt;50%，性价比模式天然匹配</w:t>
            </w:r>
          </w:p>
          <w:p w14:paraId="2868EF0E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适老化+智慧健康千亿级蓝海</w:t>
            </w:r>
          </w:p>
          <w:p w14:paraId="0221462D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以旧换新政策刺激换装需求</w:t>
            </w:r>
          </w:p>
          <w:p w14:paraId="0F1C6CBA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AI大模型重塑产品定价权</w:t>
            </w:r>
          </w:p>
        </w:tc>
        <w:tc>
          <w:tcPr>
            <w:tcW w:w="45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CE4EC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517EE63C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华为鸿蒙生态同维竞争威胁最大</w:t>
            </w:r>
          </w:p>
          <w:p w14:paraId="50267F9E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行业价格战挤压硬件利润</w:t>
            </w:r>
          </w:p>
          <w:p w14:paraId="0770F6D3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数据安全监管抬升合规成本</w:t>
            </w:r>
          </w:p>
          <w:p w14:paraId="18ACF212">
            <w:pPr>
              <w:spacing w:after="40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消费者对“伪智能”反感可能波及行业</w:t>
            </w:r>
          </w:p>
        </w:tc>
      </w:tr>
    </w:tbl>
    <w:p w14:paraId="1D721575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65BE0F3D">
        <w:tc>
          <w:tcPr>
            <w:tcW w:w="9026" w:type="dxa"/>
            <w:tcBorders>
              <w:top w:val="single" w:color="F5A623" w:sz="6" w:space="0"/>
              <w:left w:val="single" w:color="F5A623" w:sz="6" w:space="0"/>
              <w:bottom w:val="single" w:color="F5A623" w:sz="0" w:space="0"/>
              <w:right w:val="single" w:color="F5A623" w:sz="6" w:space="0"/>
            </w:tcBorders>
            <w:shd w:val="clear" w:color="auto" w:fill="FFF8E1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3CD30D55">
            <w:r>
              <w:rPr>
                <w:rFonts w:ascii="微软雅黑" w:hAnsi="微软雅黑" w:eastAsia="微软雅黑" w:cs="微软雅黑"/>
                <w:b/>
                <w:bCs/>
                <w:color w:val="F5A623"/>
                <w:sz w:val="22"/>
                <w:szCs w:val="22"/>
              </w:rPr>
              <w:t xml:space="preserve">◆ </w:t>
            </w: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2"/>
                <w:szCs w:val="22"/>
              </w:rPr>
              <w:t>EY诊断：小米的核心矛盾是“规模与变现的失衡”</w:t>
            </w:r>
          </w:p>
        </w:tc>
      </w:tr>
      <w:tr w14:paraId="68E1B741">
        <w:tc>
          <w:tcPr>
            <w:tcW w:w="9026" w:type="dxa"/>
            <w:tcBorders>
              <w:top w:val="nil"/>
              <w:left w:val="single" w:color="F5A623" w:sz="6" w:space="0"/>
              <w:bottom w:val="nil"/>
              <w:right w:val="single" w:color="F5A623" w:sz="6" w:space="0"/>
            </w:tcBorders>
            <w:shd w:val="clear" w:color="auto" w:fill="FFF8E1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5BA79D8F">
            <w:r>
              <w:rPr>
                <w:rFonts w:ascii="微软雅黑" w:hAnsi="微软雅黑" w:eastAsia="微软雅黑" w:cs="微软雅黑"/>
                <w:color w:val="F5A623"/>
                <w:sz w:val="20"/>
                <w:szCs w:val="20"/>
              </w:rPr>
              <w:t xml:space="preserve">→ </w:t>
            </w:r>
            <w:r>
              <w:rPr>
                <w:rFonts w:ascii="微软雅黑" w:hAnsi="微软雅黑" w:eastAsia="微软雅黑" w:cs="微软雅黑"/>
                <w:color w:val="555555"/>
                <w:sz w:val="20"/>
                <w:szCs w:val="20"/>
              </w:rPr>
              <w:t>小米在“生态连接数”和“性价比”两个维度均获得5分满分，但ARPU值仅获3分——这意味着小米拥有全行业最庞大的用户规模，但单用户价值远未充分释放。</w:t>
            </w:r>
          </w:p>
        </w:tc>
      </w:tr>
      <w:tr w14:paraId="1B648B2D">
        <w:tc>
          <w:tcPr>
            <w:tcW w:w="9026" w:type="dxa"/>
            <w:tcBorders>
              <w:top w:val="nil"/>
              <w:left w:val="single" w:color="F5A623" w:sz="6" w:space="0"/>
              <w:bottom w:val="nil"/>
              <w:right w:val="single" w:color="F5A623" w:sz="6" w:space="0"/>
            </w:tcBorders>
            <w:shd w:val="clear" w:color="auto" w:fill="FFF8E1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1956B112">
            <w:r>
              <w:rPr>
                <w:rFonts w:ascii="微软雅黑" w:hAnsi="微软雅黑" w:eastAsia="微软雅黑" w:cs="微软雅黑"/>
                <w:color w:val="F5A623"/>
                <w:sz w:val="20"/>
                <w:szCs w:val="20"/>
              </w:rPr>
              <w:t xml:space="preserve">→ </w:t>
            </w:r>
            <w:r>
              <w:rPr>
                <w:rFonts w:ascii="微软雅黑" w:hAnsi="微软雅黑" w:eastAsia="微软雅黑" w:cs="微软雅黑"/>
                <w:color w:val="555555"/>
                <w:sz w:val="20"/>
                <w:szCs w:val="20"/>
              </w:rPr>
              <w:t>如果ARPU值从114元提升到200元（+75%），IoT业务收入将从1,232亿增至~2,158亿，增量达926亿元——这就是“ARPU提升”战略的巨大想象空间。</w:t>
            </w:r>
          </w:p>
        </w:tc>
      </w:tr>
      <w:tr w14:paraId="0201C136">
        <w:tc>
          <w:tcPr>
            <w:tcW w:w="9026" w:type="dxa"/>
            <w:tcBorders>
              <w:top w:val="nil"/>
              <w:left w:val="single" w:color="F5A623" w:sz="6" w:space="0"/>
              <w:bottom w:val="single" w:color="F5A623" w:sz="6" w:space="0"/>
              <w:right w:val="single" w:color="F5A623" w:sz="6" w:space="0"/>
            </w:tcBorders>
            <w:shd w:val="clear" w:color="auto" w:fill="FFF8E1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70E9D917"/>
        </w:tc>
      </w:tr>
    </w:tbl>
    <w:p w14:paraId="34269F30">
      <w:r>
        <w:br w:type="page"/>
      </w:r>
    </w:p>
    <w:p w14:paraId="014D37FF">
      <w:pPr>
        <w:pStyle w:val="2"/>
      </w:pPr>
      <w:r>
        <w:rPr>
          <w:rFonts w:ascii="微软雅黑" w:hAnsi="微软雅黑" w:eastAsia="微软雅黑" w:cs="微软雅黑"/>
        </w:rPr>
        <w:t>三、三大战略举措</w:t>
      </w:r>
    </w:p>
    <w:p w14:paraId="6E9643AD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基于以上诊断，我们为小米智能家居业务提出三大战略举措，分别对应解决“ARPU值低”“结构性增量”“生态壁垒”三大核心议题：</w:t>
      </w:r>
    </w:p>
    <w:p w14:paraId="16A6C432">
      <w:pPr>
        <w:pStyle w:val="3"/>
      </w:pPr>
      <w:r>
        <w:rPr>
          <w:rFonts w:ascii="微软雅黑" w:hAnsi="微软雅黑" w:eastAsia="微软雅黑" w:cs="微软雅黑"/>
        </w:rPr>
        <w:t>战略一：AI主动服务升级 —— 打开ARPU天花板</w:t>
      </w:r>
    </w:p>
    <w:p w14:paraId="03FDE08E">
      <w:pPr>
        <w:pStyle w:val="4"/>
      </w:pPr>
      <w:r>
        <w:rPr>
          <w:rFonts w:ascii="微软雅黑" w:hAnsi="微软雅黑" w:eastAsia="微软雅黑" w:cs="微软雅黑"/>
        </w:rPr>
        <w:t>问题：为什么ARPU值低？</w:t>
      </w:r>
    </w:p>
    <w:p w14:paraId="6CD8CE5B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当前智能家居的交互模式是“用户主动发指令→设备被动执行”（如“小爱，开灯”）。用户觉得“方便了一点”，但不觉得“离不开”，因此不愿为软件服务额外付费。结果是：硬件卖一次的钱，后续无续费收入。</w:t>
      </w:r>
    </w:p>
    <w:p w14:paraId="25DF7E2F">
      <w:pPr>
        <w:pStyle w:val="4"/>
      </w:pPr>
      <w:r>
        <w:rPr>
          <w:rFonts w:ascii="微软雅黑" w:hAnsi="微软雅黑" w:eastAsia="微软雅黑" w:cs="微软雅黑"/>
        </w:rPr>
        <w:t>解法：AI驱动的“主动服务”体验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3013"/>
        <w:gridCol w:w="3013"/>
      </w:tblGrid>
      <w:tr w14:paraId="6FC6F1A5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58F7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层级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B483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具体能力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B56BF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变现方式</w:t>
            </w:r>
          </w:p>
        </w:tc>
      </w:tr>
      <w:tr w14:paraId="64C05A37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AD711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L1 免费基础服务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0C666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场景联动、定时任务、语音控制——当前已有能力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E5254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硬件钱→拉新获客</w:t>
            </w:r>
          </w:p>
        </w:tc>
      </w:tr>
      <w:tr w14:paraId="0DFD0E1C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6905DB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L2 付费主动服务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A58E0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主动感知用户习惯→自动调温/照明/安防，无感化体验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2CA6B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订阅制：¥29.9-99/月，ARPU提升空间巨大</w:t>
            </w:r>
          </w:p>
        </w:tc>
      </w:tr>
      <w:tr w14:paraId="792AEB38">
        <w:tc>
          <w:tcPr>
            <w:tcW w:w="30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115A9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L3 高端管家服务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2BD3A6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健康管理、能源优化、老人看护等专业服务</w:t>
            </w:r>
          </w:p>
        </w:tc>
        <w:tc>
          <w:tcPr>
            <w:tcW w:w="301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71EC2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高端订阅：¥199-499/月</w:t>
            </w:r>
          </w:p>
        </w:tc>
      </w:tr>
    </w:tbl>
    <w:p w14:paraId="7D388720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49204934">
        <w:tc>
          <w:tcPr>
            <w:tcW w:w="9026" w:type="dxa"/>
            <w:tcBorders>
              <w:top w:val="single" w:color="2E7D32" w:sz="6" w:space="0"/>
              <w:left w:val="single" w:color="2E7D32" w:sz="6" w:space="0"/>
              <w:bottom w:val="single" w:color="2E7D32" w:sz="0" w:space="0"/>
              <w:right w:val="single" w:color="2E7D32" w:sz="6" w:space="0"/>
            </w:tcBorders>
            <w:shd w:val="clear" w:color="auto" w:fill="E8F5E9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692D22E5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2"/>
                <w:szCs w:val="22"/>
              </w:rPr>
              <w:t xml:space="preserve">★ </w:t>
            </w:r>
            <w:r>
              <w:rPr>
                <w:rFonts w:ascii="微软雅黑" w:hAnsi="微软雅黑" w:eastAsia="微软雅黑" w:cs="微软雅黑"/>
                <w:b/>
                <w:bCs/>
                <w:color w:val="1B5E20"/>
                <w:sz w:val="22"/>
                <w:szCs w:val="22"/>
              </w:rPr>
              <w:t>战略一的核心指标</w:t>
            </w:r>
          </w:p>
        </w:tc>
      </w:tr>
      <w:tr w14:paraId="74B9814C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49210266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目标：2028年IoT业务ARPU从114元提升至200元（+75%）</w:t>
            </w:r>
          </w:p>
        </w:tc>
      </w:tr>
      <w:tr w14:paraId="74BDBBA2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75D72931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路径：以小爱同学1.6亿月活为基座，叠加大模型能力，推出“小米全屋智能 Pro”订阅服务</w:t>
            </w:r>
          </w:p>
        </w:tc>
      </w:tr>
      <w:tr w14:paraId="41AF9588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1F78891E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参考系：特斯拉FSD订阅制已验证“软件变现”模式在硬件平台上的可行性</w:t>
            </w:r>
          </w:p>
        </w:tc>
      </w:tr>
      <w:tr w14:paraId="33DCF739">
        <w:tc>
          <w:tcPr>
            <w:tcW w:w="9026" w:type="dxa"/>
            <w:tcBorders>
              <w:top w:val="nil"/>
              <w:left w:val="single" w:color="2E7D32" w:sz="6" w:space="0"/>
              <w:bottom w:val="single" w:color="2E7D32" w:sz="6" w:space="0"/>
              <w:right w:val="single" w:color="2E7D32" w:sz="6" w:space="0"/>
            </w:tcBorders>
            <w:shd w:val="clear" w:color="auto" w:fill="E8F5E9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3CC7E258"/>
        </w:tc>
      </w:tr>
    </w:tbl>
    <w:p w14:paraId="0FF75F14">
      <w:r>
        <w:br w:type="page"/>
      </w:r>
    </w:p>
    <w:p w14:paraId="202F17A0">
      <w:pPr>
        <w:pStyle w:val="3"/>
      </w:pPr>
      <w:r>
        <w:rPr>
          <w:rFonts w:ascii="微软雅黑" w:hAnsi="微软雅黑" w:eastAsia="微软雅黑" w:cs="微软雅黑"/>
        </w:rPr>
        <w:t>战略二：下沉市场+适老化双引擎 —— 抓住结构性增量</w:t>
      </w:r>
    </w:p>
    <w:p w14:paraId="429E1090">
      <w:pPr>
        <w:pStyle w:val="4"/>
      </w:pPr>
      <w:r>
        <w:rPr>
          <w:rFonts w:ascii="微软雅黑" w:hAnsi="微软雅黑" w:eastAsia="微软雅黑" w:cs="微软雅黑"/>
        </w:rPr>
        <w:t>引擎一：下沉市场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0"/>
        <w:gridCol w:w="3263"/>
        <w:gridCol w:w="3263"/>
      </w:tblGrid>
      <w:tr w14:paraId="2B2930F2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0188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维度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A25B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市场现状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F04E8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小米的机会</w:t>
            </w:r>
          </w:p>
        </w:tc>
      </w:tr>
      <w:tr w14:paraId="761CC880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3DBCE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增速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F1BC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三线及以下城市增速&gt;50%，新增需求占比48%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5A7B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性价比模式天然匹配下沉市场的价格敏感度</w:t>
            </w:r>
          </w:p>
        </w:tc>
      </w:tr>
      <w:tr w14:paraId="28A4AB4A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5EE65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渠道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3E714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下沉市场缺乏专业智能家居体验店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5C3EF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小米之家已布局二三线城市，可复用现有渠道</w:t>
            </w:r>
          </w:p>
        </w:tc>
      </w:tr>
      <w:tr w14:paraId="31841C7A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4F02B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产品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72427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下沉市场用户偏好“即插即用”产品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EF591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推出¥999-2999的“入门套装”（音箱+门锁+灯带+插座）</w:t>
            </w:r>
          </w:p>
        </w:tc>
      </w:tr>
    </w:tbl>
    <w:p w14:paraId="1C7A3EB7">
      <w:pPr>
        <w:pStyle w:val="4"/>
      </w:pPr>
      <w:r>
        <w:rPr>
          <w:rFonts w:ascii="微软雅黑" w:hAnsi="微软雅黑" w:eastAsia="微软雅黑" w:cs="微软雅黑"/>
        </w:rPr>
        <w:t>引擎二：适老化场景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0"/>
        <w:gridCol w:w="3263"/>
        <w:gridCol w:w="3263"/>
      </w:tblGrid>
      <w:tr w14:paraId="48AAB10D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2153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场景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3A99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用户需求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4B207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小米可做的产品</w:t>
            </w:r>
          </w:p>
        </w:tc>
      </w:tr>
      <w:tr w14:paraId="0D5E5B40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EC0CE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跌倒监测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C222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独居老人的安全看护，子女远程的安心感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06D862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毫米波雷达+AI行为分析，异常自动报警</w:t>
            </w:r>
          </w:p>
        </w:tc>
      </w:tr>
      <w:tr w14:paraId="2590A8FE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A3645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健康管理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FB27B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睡眠质量、体征指标持续监测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4791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智能床垫+手环+体脂秤数据联动</w:t>
            </w:r>
          </w:p>
        </w:tc>
      </w:tr>
      <w:tr w14:paraId="4B68D8CC">
        <w:tc>
          <w:tcPr>
            <w:tcW w:w="2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71E6C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环境自适应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6B4B3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自动调温/照明、空气净化</w:t>
            </w:r>
          </w:p>
        </w:tc>
        <w:tc>
          <w:tcPr>
            <w:tcW w:w="326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C5D4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基于戧岔的无感化环境控制</w:t>
            </w:r>
          </w:p>
        </w:tc>
      </w:tr>
    </w:tbl>
    <w:p w14:paraId="51AAE5D2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600D2762">
        <w:tc>
          <w:tcPr>
            <w:tcW w:w="9026" w:type="dxa"/>
            <w:tcBorders>
              <w:top w:val="single" w:color="2E7D32" w:sz="6" w:space="0"/>
              <w:left w:val="single" w:color="2E7D32" w:sz="6" w:space="0"/>
              <w:bottom w:val="single" w:color="2E7D32" w:sz="0" w:space="0"/>
              <w:right w:val="single" w:color="2E7D32" w:sz="6" w:space="0"/>
            </w:tcBorders>
            <w:shd w:val="clear" w:color="auto" w:fill="E8F5E9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7B8C6126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2"/>
                <w:szCs w:val="22"/>
              </w:rPr>
              <w:t xml:space="preserve">★ </w:t>
            </w:r>
            <w:r>
              <w:rPr>
                <w:rFonts w:ascii="微软雅黑" w:hAnsi="微软雅黑" w:eastAsia="微软雅黑" w:cs="微软雅黑"/>
                <w:b/>
                <w:bCs/>
                <w:color w:val="1B5E20"/>
                <w:sz w:val="22"/>
                <w:szCs w:val="22"/>
              </w:rPr>
              <w:t>战略二的核心指标</w:t>
            </w:r>
          </w:p>
        </w:tc>
      </w:tr>
      <w:tr w14:paraId="565B9321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107DEEB3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目标：2027年下沉市场设备连接数占比从~30%提升至45%</w:t>
            </w:r>
          </w:p>
        </w:tc>
      </w:tr>
      <w:tr w14:paraId="11FE0959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75EE63D1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目标：2027年适老化场景产品线营收突碴50亿元</w:t>
            </w:r>
          </w:p>
        </w:tc>
      </w:tr>
      <w:tr w14:paraId="328995C5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7B97B6EC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路径：推出“小米全屋智能·宝安版”适老套装，与政府养老服务补贴对接</w:t>
            </w:r>
          </w:p>
        </w:tc>
      </w:tr>
      <w:tr w14:paraId="7E47D767">
        <w:tc>
          <w:tcPr>
            <w:tcW w:w="9026" w:type="dxa"/>
            <w:tcBorders>
              <w:top w:val="nil"/>
              <w:left w:val="single" w:color="2E7D32" w:sz="6" w:space="0"/>
              <w:bottom w:val="single" w:color="2E7D32" w:sz="6" w:space="0"/>
              <w:right w:val="single" w:color="2E7D32" w:sz="6" w:space="0"/>
            </w:tcBorders>
            <w:shd w:val="clear" w:color="auto" w:fill="E8F5E9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748BB6DF"/>
        </w:tc>
      </w:tr>
    </w:tbl>
    <w:p w14:paraId="506E19D6">
      <w:r>
        <w:br w:type="page"/>
      </w:r>
    </w:p>
    <w:p w14:paraId="68F1F3BA">
      <w:pPr>
        <w:pStyle w:val="3"/>
      </w:pPr>
      <w:r>
        <w:rPr>
          <w:rFonts w:ascii="微软雅黑" w:hAnsi="微软雅黑" w:eastAsia="微软雅黑" w:cs="微软雅黑"/>
        </w:rPr>
        <w:t>战略三：“人车家”数据飞轮 —— 强化生态壁垒</w:t>
      </w:r>
    </w:p>
    <w:p w14:paraId="76A3DD87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小米是全球唯一同时拥有“手机+汽车+全屋智能”三大平台的企业。这个独特的生态位置是小米相比华为和海尔的最大差异化优势：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0"/>
        <w:gridCol w:w="2508"/>
        <w:gridCol w:w="2509"/>
        <w:gridCol w:w="2509"/>
      </w:tblGrid>
      <w:tr w14:paraId="4F56D500"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BB8A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场景</w:t>
            </w:r>
          </w:p>
        </w:tc>
        <w:tc>
          <w:tcPr>
            <w:tcW w:w="25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FE5CF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人（手机/穿戴）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F720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车（SU7/YU7）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F05D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家（全屋智能）</w:t>
            </w:r>
          </w:p>
        </w:tc>
      </w:tr>
      <w:tr w14:paraId="6AFB8714"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B9CF8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数据量</w:t>
            </w:r>
          </w:p>
        </w:tc>
        <w:tc>
          <w:tcPr>
            <w:tcW w:w="25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A1FA2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全球月活7.42亿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3059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2025年交付41.1万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A833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10.79亿台连接</w:t>
            </w:r>
          </w:p>
        </w:tc>
      </w:tr>
      <w:tr w14:paraId="018A53B9"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C231F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数据类型</w:t>
            </w:r>
          </w:p>
        </w:tc>
        <w:tc>
          <w:tcPr>
            <w:tcW w:w="25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F4243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个人行为/健康/偏好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B9DF7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出行习惯/位置/用车场景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BAAE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生活习惯/环境/能耗</w:t>
            </w:r>
          </w:p>
        </w:tc>
      </w:tr>
      <w:tr w14:paraId="772EC83C">
        <w:tc>
          <w:tcPr>
            <w:tcW w:w="15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0603C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协同价值</w:t>
            </w:r>
          </w:p>
        </w:tc>
        <w:tc>
          <w:tcPr>
            <w:tcW w:w="25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DDD2F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手机检测到用户回家→自动调整家居环境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565D73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车内语音控制家居设备、提前开空调</w:t>
            </w:r>
          </w:p>
        </w:tc>
        <w:tc>
          <w:tcPr>
            <w:tcW w:w="25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9108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家中设备感知用户出门→自动切换离家模式</w:t>
            </w:r>
          </w:p>
        </w:tc>
      </w:tr>
    </w:tbl>
    <w:p w14:paraId="6E406FE1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当三个场景的数据打通后，小米将掌握用户“24小时全场景”的行为数据，而华为只能覆盖“手机+家”，海尔只能覆盖“家”。这个数据优势一旦建立，将形成不可逾越的竞争壁垒。</w:t>
      </w:r>
    </w:p>
    <w:p w14:paraId="54C2B9F2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0787CD30">
        <w:tc>
          <w:tcPr>
            <w:tcW w:w="9026" w:type="dxa"/>
            <w:tcBorders>
              <w:top w:val="single" w:color="2E7D32" w:sz="6" w:space="0"/>
              <w:left w:val="single" w:color="2E7D32" w:sz="6" w:space="0"/>
              <w:bottom w:val="single" w:color="2E7D32" w:sz="0" w:space="0"/>
              <w:right w:val="single" w:color="2E7D32" w:sz="6" w:space="0"/>
            </w:tcBorders>
            <w:shd w:val="clear" w:color="auto" w:fill="E8F5E9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676F87AF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2"/>
                <w:szCs w:val="22"/>
              </w:rPr>
              <w:t xml:space="preserve">★ </w:t>
            </w:r>
            <w:r>
              <w:rPr>
                <w:rFonts w:ascii="微软雅黑" w:hAnsi="微软雅黑" w:eastAsia="微软雅黑" w:cs="微软雅黑"/>
                <w:b/>
                <w:bCs/>
                <w:color w:val="1B5E20"/>
                <w:sz w:val="22"/>
                <w:szCs w:val="22"/>
              </w:rPr>
              <w:t>战略三的核心指标</w:t>
            </w:r>
          </w:p>
        </w:tc>
      </w:tr>
      <w:tr w14:paraId="7873AC23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473B0095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目标：2027年“拥5件及以上IoT设备用户”从2,270万提升至3,500万（+54%）</w:t>
            </w:r>
          </w:p>
        </w:tc>
      </w:tr>
      <w:tr w14:paraId="71A71A2A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72EA8C98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目标：小米汽车车主的家居IoT渗透率达80%（当前预估~30%）</w:t>
            </w:r>
          </w:p>
        </w:tc>
      </w:tr>
      <w:tr w14:paraId="5E0C780B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0EDDB660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路径：购车即送“全屋智能入门套装”，以车主为切入点推动全屋智能渗透</w:t>
            </w:r>
          </w:p>
        </w:tc>
      </w:tr>
      <w:tr w14:paraId="3E3790B8">
        <w:tc>
          <w:tcPr>
            <w:tcW w:w="9026" w:type="dxa"/>
            <w:tcBorders>
              <w:top w:val="nil"/>
              <w:left w:val="single" w:color="2E7D32" w:sz="6" w:space="0"/>
              <w:bottom w:val="single" w:color="2E7D32" w:sz="6" w:space="0"/>
              <w:right w:val="single" w:color="2E7D32" w:sz="6" w:space="0"/>
            </w:tcBorders>
            <w:shd w:val="clear" w:color="auto" w:fill="E8F5E9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43646ABC"/>
        </w:tc>
      </w:tr>
    </w:tbl>
    <w:p w14:paraId="42A21781">
      <w:r>
        <w:br w:type="page"/>
      </w:r>
    </w:p>
    <w:p w14:paraId="350AB0B4">
      <w:pPr>
        <w:pStyle w:val="2"/>
      </w:pPr>
      <w:r>
        <w:rPr>
          <w:rFonts w:ascii="微软雅黑" w:hAnsi="微软雅黑" w:eastAsia="微软雅黑" w:cs="微软雅黑"/>
        </w:rPr>
        <w:t>四、战略路线图与关键里程碑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00"/>
        <w:gridCol w:w="2408"/>
        <w:gridCol w:w="2409"/>
        <w:gridCol w:w="2409"/>
      </w:tblGrid>
      <w:tr w14:paraId="4029BB1E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FB879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阶段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F2DFF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2026H2-2027（基础期）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27A92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2027-2028（加速期）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3A0C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2028-2030（收获期）</w:t>
            </w:r>
          </w:p>
        </w:tc>
      </w:tr>
      <w:tr w14:paraId="08C3DA5E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4069AD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战略一
AI服务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2A6B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小爱同学接入大模型，推出“智慧场景推荐”免费功能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39A56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上线“全屋智能Pro”订阅服务，目标付费用户100万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1B326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ARPU达200元，订阅收入占IoT业务&gt;15%</w:t>
            </w:r>
          </w:p>
        </w:tc>
      </w:tr>
      <w:tr w14:paraId="32225692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0F45D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战略二
双引擎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5C84A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推出¥999入门套装，建立下沉市场专属产品线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73027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发布“宝安版”适老套装，对接政府养老补贴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E5A31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下沉市场占比达45%，适老产品线营收突碴50亿</w:t>
            </w:r>
          </w:p>
        </w:tc>
      </w:tr>
      <w:tr w14:paraId="41FB3803">
        <w:tc>
          <w:tcPr>
            <w:tcW w:w="18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F689C">
            <w:pPr>
              <w:jc w:val="left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战略三
数据飞轮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A25B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打通车机互联（手机检测回家→开空调）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4BA98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打通三端数据，推出“人车家”综合服务包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521D9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5件+用户达3,500万，车主家居渗透80%</w:t>
            </w:r>
          </w:p>
        </w:tc>
      </w:tr>
    </w:tbl>
    <w:p w14:paraId="0853E7D8">
      <w:pPr>
        <w:spacing w:before="40" w:after="60"/>
      </w:pPr>
      <w:r>
        <w:rPr>
          <w:rFonts w:ascii="微软雅黑" w:hAnsi="微软雅黑" w:eastAsia="微软雅黑" w:cs="微软雅黑"/>
          <w:i/>
          <w:iCs/>
          <w:color w:val="888888"/>
          <w:sz w:val="18"/>
          <w:szCs w:val="18"/>
        </w:rPr>
        <w:t>数据来源：EY战略分析整理</w:t>
      </w:r>
    </w:p>
    <w:p w14:paraId="67523603">
      <w:r>
        <w:br w:type="page"/>
      </w:r>
    </w:p>
    <w:p w14:paraId="7FE0C4DE">
      <w:pPr>
        <w:pStyle w:val="2"/>
      </w:pPr>
      <w:r>
        <w:rPr>
          <w:rFonts w:ascii="微软雅黑" w:hAnsi="微软雅黑" w:eastAsia="微软雅黑" w:cs="微软雅黑"/>
        </w:rPr>
        <w:t>五、关键风险与缓释措施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2408"/>
        <w:gridCol w:w="2409"/>
        <w:gridCol w:w="3009"/>
      </w:tblGrid>
      <w:tr w14:paraId="02740D2A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10966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等级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49AB1B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风险描述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675AE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影响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D9E44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FFFFFF"/>
                <w:sz w:val="20"/>
                <w:szCs w:val="20"/>
              </w:rPr>
              <w:t>缓释措施</w:t>
            </w:r>
          </w:p>
        </w:tc>
      </w:tr>
      <w:tr w14:paraId="0C981A77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CE4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E13105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高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121B7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华为鸿蒙生态加速扩张，直接威胁小米IoT平台地位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A5113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如果鸿蒙OS成为行业“Android”，小米将丧失平台主导权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B9889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加速Vela OS开源生态建设，与Matter协议深度绑定，确保开放性优势</w:t>
            </w:r>
          </w:p>
        </w:tc>
      </w:tr>
      <w:tr w14:paraId="2838D400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CE4E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77FB5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高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74325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ARPU提升不及预期，订阅制用户付费意愿低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1511F1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硬件低毛利模式天花板明显，整体盈利能力承压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1F461A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先以免费AI功能培育习惯，待粘性建立后再推付费；对标特斯拉FSD的“先免费后订阅”路径</w:t>
            </w:r>
          </w:p>
        </w:tc>
      </w:tr>
      <w:tr w14:paraId="5E3E50CE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48BC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中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FC832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生态链企业独立化（如绿米Aqara模式）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6E0F2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生态伙伴壮大后反向竞争，削弱平台控制力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9B24C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强化“平台依赖”：将AI主动服务能力绑定在平台层，而非单品层</w:t>
            </w:r>
          </w:p>
        </w:tc>
      </w:tr>
      <w:tr w14:paraId="32E9B9F2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11F30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中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7DE33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数据安全监管趋严，合规成本上升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C4BB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“人车家”数据打通可能受限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50C3D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提前布局隐私计算能力，数据处理尽可能本地化（边缘计算）</w:t>
            </w:r>
          </w:p>
        </w:tc>
      </w:tr>
      <w:tr w14:paraId="24E4FCAB">
        <w:tc>
          <w:tcPr>
            <w:tcW w:w="1200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E8F5E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163E3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color w:val="333333"/>
                <w:sz w:val="20"/>
                <w:szCs w:val="20"/>
              </w:rPr>
              <w:t>低</w:t>
            </w:r>
          </w:p>
        </w:tc>
        <w:tc>
          <w:tcPr>
            <w:tcW w:w="2408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E5D5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YU7销量回落后汽车业务增长承压</w:t>
            </w:r>
          </w:p>
        </w:tc>
        <w:tc>
          <w:tcPr>
            <w:tcW w:w="24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5B3D9F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“人车家”飞轮的“车”环节动能减弱</w:t>
            </w:r>
          </w:p>
        </w:tc>
        <w:tc>
          <w:tcPr>
            <w:tcW w:w="3009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2DF00">
            <w:pPr>
              <w:jc w:val="left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333333"/>
                <w:sz w:val="20"/>
                <w:szCs w:val="20"/>
              </w:rPr>
              <w:t>2026年小米汽车目标交付55万辆，车型矩阵扩展可对冲</w:t>
            </w:r>
          </w:p>
        </w:tc>
      </w:tr>
    </w:tbl>
    <w:p w14:paraId="0041F746">
      <w:r>
        <w:br w:type="page"/>
      </w:r>
    </w:p>
    <w:p w14:paraId="1D46BBB3">
      <w:pPr>
        <w:pStyle w:val="2"/>
      </w:pPr>
      <w:r>
        <w:rPr>
          <w:rFonts w:ascii="微软雅黑" w:hAnsi="微软雅黑" w:eastAsia="微软雅黑" w:cs="微软雅黑"/>
        </w:rPr>
        <w:t>六、结论</w:t>
      </w:r>
    </w:p>
    <w:p w14:paraId="13268725">
      <w:pPr>
        <w:spacing w:after="120"/>
      </w:pPr>
      <w:r>
        <w:rPr>
          <w:rFonts w:ascii="微软雅黑" w:hAnsi="微软雅黑" w:eastAsia="微软雅黑" w:cs="微软雅黑"/>
          <w:sz w:val="22"/>
          <w:szCs w:val="22"/>
        </w:rPr>
        <w:t>智能家居行业已过“连接红利期”，进入“智慧服务期”。小米拥有全行业最强的生态规模优势，但核心矛盾在于“规模与变现的失衡”——ARPU值仅为114元/台/年，远未充分释放生态价值。</w:t>
      </w:r>
    </w:p>
    <w:p w14:paraId="5C049561">
      <w:pPr>
        <w:spacing w:before="200"/>
      </w:pP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26"/>
      </w:tblGrid>
      <w:tr w14:paraId="39FA6523">
        <w:tc>
          <w:tcPr>
            <w:tcW w:w="9026" w:type="dxa"/>
            <w:tcBorders>
              <w:top w:val="single" w:color="2E7D32" w:sz="6" w:space="0"/>
              <w:left w:val="single" w:color="2E7D32" w:sz="6" w:space="0"/>
              <w:bottom w:val="single" w:color="2E7D32" w:sz="0" w:space="0"/>
              <w:right w:val="single" w:color="2E7D32" w:sz="6" w:space="0"/>
            </w:tcBorders>
            <w:shd w:val="clear" w:color="auto" w:fill="E8F5E9"/>
            <w:tcMar>
              <w:top w:w="80" w:type="dxa"/>
              <w:left w:w="120" w:type="dxa"/>
              <w:bottom w:w="40" w:type="dxa"/>
              <w:right w:w="120" w:type="dxa"/>
            </w:tcMar>
          </w:tcPr>
          <w:p w14:paraId="1CF96A60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2"/>
                <w:szCs w:val="22"/>
              </w:rPr>
              <w:t xml:space="preserve">★ </w:t>
            </w:r>
            <w:r>
              <w:rPr>
                <w:rFonts w:ascii="微软雅黑" w:hAnsi="微软雅黑" w:eastAsia="微软雅黑" w:cs="微软雅黑"/>
                <w:b/>
                <w:bCs/>
                <w:color w:val="1B5E20"/>
                <w:sz w:val="22"/>
                <w:szCs w:val="22"/>
              </w:rPr>
              <w:t>战略决策总结：从“设备连接平台”向“智慧生活操作系统”转型</w:t>
            </w:r>
          </w:p>
        </w:tc>
      </w:tr>
      <w:tr w14:paraId="42ED4B7C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45EB6340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战略一：AI主动服务升级——以大模型驱动的“无感化主动服务”重塑用户体验，打开订阅制变现空间，目标ARPU提升至200元。</w:t>
            </w:r>
          </w:p>
        </w:tc>
      </w:tr>
      <w:tr w14:paraId="55A7ECEC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55E3D5F3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战略二：双引擎驱动——以性价比套装拿下下沉市场，以适老套装开拓千亿级蓝海场景，抓住结构性增量。</w:t>
            </w:r>
          </w:p>
        </w:tc>
      </w:tr>
      <w:tr w14:paraId="16458424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4E88B1BC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战略三：数据飞轮——打通“人车家”三端数据，建立“24小时全场景”用户理解能力，形成竞争对手无法复制的生态壁垒。</w:t>
            </w:r>
          </w:p>
        </w:tc>
      </w:tr>
      <w:tr w14:paraId="4DF00CA0">
        <w:tc>
          <w:tcPr>
            <w:tcW w:w="9026" w:type="dxa"/>
            <w:tcBorders>
              <w:top w:val="nil"/>
              <w:left w:val="single" w:color="2E7D32" w:sz="6" w:space="0"/>
              <w:bottom w:val="nil"/>
              <w:right w:val="single" w:color="2E7D32" w:sz="6" w:space="0"/>
            </w:tcBorders>
            <w:shd w:val="clear" w:color="auto" w:fill="E8F5E9"/>
            <w:tcMar>
              <w:top w:w="20" w:type="dxa"/>
              <w:left w:w="240" w:type="dxa"/>
              <w:bottom w:w="20" w:type="dxa"/>
              <w:right w:w="120" w:type="dxa"/>
            </w:tcMar>
          </w:tcPr>
          <w:p w14:paraId="5AF4615F">
            <w:r>
              <w:rPr>
                <w:rFonts w:ascii="微软雅黑" w:hAnsi="微软雅黑" w:eastAsia="微软雅黑" w:cs="微软雅黑"/>
                <w:b/>
                <w:bCs/>
                <w:color w:val="2E7D32"/>
                <w:sz w:val="20"/>
                <w:szCs w:val="20"/>
              </w:rPr>
              <w:t xml:space="preserve">✓ </w:t>
            </w:r>
            <w:r>
              <w:rPr>
                <w:rFonts w:ascii="微软雅黑" w:hAnsi="微软雅黑" w:eastAsia="微软雅黑" w:cs="微软雅黑"/>
                <w:color w:val="333333"/>
                <w:sz w:val="20"/>
                <w:szCs w:val="20"/>
              </w:rPr>
              <w:t>核心主张：不是“连接更多设备”，而是“让每个设备更懂用户”——这是小米智能家居业务的十年战略主线。</w:t>
            </w:r>
          </w:p>
        </w:tc>
      </w:tr>
      <w:tr w14:paraId="3B0E71A8">
        <w:tc>
          <w:tcPr>
            <w:tcW w:w="9026" w:type="dxa"/>
            <w:tcBorders>
              <w:top w:val="nil"/>
              <w:left w:val="single" w:color="2E7D32" w:sz="6" w:space="0"/>
              <w:bottom w:val="single" w:color="2E7D32" w:sz="6" w:space="0"/>
              <w:right w:val="single" w:color="2E7D32" w:sz="6" w:space="0"/>
            </w:tcBorders>
            <w:shd w:val="clear" w:color="auto" w:fill="E8F5E9"/>
            <w:tcMar>
              <w:top w:w="0" w:type="dxa"/>
              <w:left w:w="120" w:type="dxa"/>
              <w:bottom w:w="40" w:type="dxa"/>
              <w:right w:w="120" w:type="dxa"/>
            </w:tcMar>
          </w:tcPr>
          <w:p w14:paraId="1E911FC1"/>
        </w:tc>
      </w:tr>
    </w:tbl>
    <w:p w14:paraId="68801AB6">
      <w:pPr>
        <w:spacing w:before="200"/>
      </w:pPr>
    </w:p>
    <w:p w14:paraId="2045772D">
      <w:pPr>
        <w:spacing w:before="200"/>
      </w:pPr>
    </w:p>
    <w:p w14:paraId="65A28CA5">
      <w:pPr>
        <w:shd w:val="clear" w:fill="D6E4F0"/>
        <w:spacing w:before="200" w:after="200"/>
      </w:pPr>
      <w:r>
        <w:rPr>
          <w:rFonts w:ascii="微软雅黑" w:hAnsi="微软雅黑" w:eastAsia="微软雅黑" w:cs="微软雅黑"/>
          <w:color w:val="666666"/>
          <w:sz w:val="18"/>
          <w:szCs w:val="18"/>
        </w:rPr>
        <w:t xml:space="preserve">  免责声明：本报告仅供内部战略研究参考，不构成投资建议。分析基于公开信息整理，数据来源包括但不限于IDC、智研咨询、小米集团年报、海尔智家年报、华为官网、中国汽车工业协会等。</w:t>
      </w:r>
    </w:p>
    <w:sectPr>
      <w:headerReference r:id="rId5" w:type="default"/>
      <w:footerReference r:id="rId6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雅意黑 GB18030L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思源黑体 CN">
    <w:panose1 w:val="020B0800000000000000"/>
    <w:charset w:val="86"/>
    <w:family w:val="auto"/>
    <w:pitch w:val="default"/>
    <w:sig w:usb0="20000003" w:usb1="2ADF3C10" w:usb2="00000016" w:usb3="00000000" w:csb0="600601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ED11C">
    <w:pPr>
      <w:pBdr>
        <w:top w:val="single" w:color="CCCCCC" w:sz="2" w:space="4"/>
      </w:pBdr>
      <w:jc w:val="center"/>
    </w:pPr>
    <w:r>
      <w:rPr>
        <w:rFonts w:ascii="微软雅黑" w:hAnsi="微软雅黑" w:eastAsia="微软雅黑" w:cs="微软雅黑"/>
        <w:color w:val="999999"/>
        <w:sz w:val="18"/>
        <w:szCs w:val="18"/>
      </w:rPr>
      <w:t xml:space="preserve">— </w: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999999"/>
        <w:sz w:val="18"/>
        <w:szCs w:val="18"/>
      </w:rPr>
      <w:instrText xml:space="preserve">PAGE</w:instrTex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end"/>
    </w:r>
    <w:r>
      <w:rPr>
        <w:rFonts w:ascii="微软雅黑" w:hAnsi="微软雅黑" w:eastAsia="微软雅黑" w:cs="微软雅黑"/>
        <w:color w:val="999999"/>
        <w:sz w:val="18"/>
        <w:szCs w:val="1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06861">
    <w:pPr>
      <w:pBdr>
        <w:top w:val="single" w:color="CCCCCC" w:sz="2" w:space="4"/>
      </w:pBdr>
      <w:jc w:val="center"/>
    </w:pPr>
    <w:r>
      <w:rPr>
        <w:rFonts w:ascii="微软雅黑" w:hAnsi="微软雅黑" w:eastAsia="微软雅黑" w:cs="微软雅黑"/>
        <w:color w:val="999999"/>
        <w:sz w:val="18"/>
        <w:szCs w:val="18"/>
      </w:rPr>
      <w:t xml:space="preserve">— </w: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999999"/>
        <w:sz w:val="18"/>
        <w:szCs w:val="18"/>
      </w:rPr>
      <w:instrText xml:space="preserve">PAGE</w:instrTex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end"/>
    </w:r>
    <w:r>
      <w:rPr>
        <w:rFonts w:ascii="微软雅黑" w:hAnsi="微软雅黑" w:eastAsia="微软雅黑" w:cs="微软雅黑"/>
        <w:color w:val="999999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300FB">
    <w:pPr>
      <w:pBdr>
        <w:bottom w:val="single" w:color="2E75B6" w:sz="4" w:space="4"/>
      </w:pBdr>
      <w:jc w:val="right"/>
    </w:pPr>
    <w:r>
      <w:rPr>
        <w:rFonts w:ascii="微软雅黑" w:hAnsi="微软雅黑" w:eastAsia="微软雅黑" w:cs="微软雅黑"/>
        <w:color w:val="999999"/>
        <w:sz w:val="18"/>
        <w:szCs w:val="18"/>
      </w:rPr>
      <w:t>EY | 智能家居业务战略决策报告（小米集团）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FA0A2">
    <w:pPr>
      <w:pBdr>
        <w:bottom w:val="single" w:color="2E75B6" w:sz="4" w:space="4"/>
      </w:pBdr>
      <w:jc w:val="right"/>
    </w:pPr>
    <w:r>
      <w:rPr>
        <w:rFonts w:ascii="微软雅黑" w:hAnsi="微软雅黑" w:eastAsia="微软雅黑" w:cs="微软雅黑"/>
        <w:color w:val="999999"/>
        <w:sz w:val="18"/>
        <w:szCs w:val="18"/>
      </w:rPr>
      <w:t>EY | 智能家居业务战略决策报告（小米集团）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F649D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szCs w:val="22"/>
    </w:rPr>
  </w:style>
  <w:style w:type="paragraph" w:styleId="2">
    <w:name w:val="heading 1"/>
    <w:next w:val="1"/>
    <w:qFormat/>
    <w:uiPriority w:val="0"/>
    <w:pPr>
      <w:pBdr>
        <w:bottom w:val="single" w:color="2E75B6" w:sz="6" w:space="4"/>
      </w:pBdr>
      <w:spacing w:before="360" w:after="200" w:line="360" w:lineRule="auto"/>
      <w:outlineLvl w:val="0"/>
    </w:pPr>
    <w:rPr>
      <w:rFonts w:ascii="微软雅黑" w:hAnsi="微软雅黑" w:eastAsia="微软雅黑" w:cs="微软雅黑"/>
      <w:b/>
      <w:bCs/>
      <w:color w:val="1F4E79"/>
      <w:sz w:val="36"/>
      <w:szCs w:val="36"/>
    </w:rPr>
  </w:style>
  <w:style w:type="paragraph" w:styleId="3">
    <w:name w:val="heading 2"/>
    <w:next w:val="1"/>
    <w:qFormat/>
    <w:uiPriority w:val="0"/>
    <w:pPr>
      <w:spacing w:before="280" w:after="160" w:line="360" w:lineRule="auto"/>
      <w:outlineLvl w:val="1"/>
    </w:pPr>
    <w:rPr>
      <w:rFonts w:ascii="微软雅黑" w:hAnsi="微软雅黑" w:eastAsia="微软雅黑" w:cs="微软雅黑"/>
      <w:b/>
      <w:bCs/>
      <w:color w:val="2E75B6"/>
      <w:sz w:val="30"/>
      <w:szCs w:val="30"/>
    </w:rPr>
  </w:style>
  <w:style w:type="paragraph" w:styleId="4">
    <w:name w:val="heading 3"/>
    <w:next w:val="1"/>
    <w:qFormat/>
    <w:uiPriority w:val="0"/>
    <w:pPr>
      <w:spacing w:before="200" w:after="120" w:line="360" w:lineRule="auto"/>
      <w:outlineLvl w:val="2"/>
    </w:pPr>
    <w:rPr>
      <w:rFonts w:ascii="微软雅黑" w:hAnsi="微软雅黑" w:eastAsia="微软雅黑" w:cs="微软雅黑"/>
      <w:b/>
      <w:bCs/>
      <w:color w:val="333333"/>
      <w:sz w:val="26"/>
      <w:szCs w:val="26"/>
    </w:rPr>
  </w:style>
  <w:style w:type="paragraph" w:styleId="5">
    <w:name w:val="heading 4"/>
    <w:next w:val="1"/>
    <w:qFormat/>
    <w:uiPriority w:val="0"/>
    <w:pPr>
      <w:spacing w:line="360" w:lineRule="auto"/>
    </w:pPr>
    <w:rPr>
      <w:rFonts w:ascii="微软雅黑" w:hAnsi="微软雅黑" w:eastAsia="微软雅黑" w:cs="微软雅黑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pPr>
      <w:spacing w:line="360" w:lineRule="auto"/>
    </w:pPr>
    <w:rPr>
      <w:rFonts w:ascii="微软雅黑" w:hAnsi="微软雅黑" w:eastAsia="微软雅黑" w:cs="微软雅黑"/>
      <w:color w:val="2E74B5"/>
      <w:sz w:val="22"/>
      <w:szCs w:val="22"/>
    </w:rPr>
  </w:style>
  <w:style w:type="paragraph" w:styleId="7">
    <w:name w:val="heading 6"/>
    <w:next w:val="1"/>
    <w:qFormat/>
    <w:uiPriority w:val="0"/>
    <w:pPr>
      <w:spacing w:line="360" w:lineRule="auto"/>
    </w:pPr>
    <w:rPr>
      <w:rFonts w:ascii="微软雅黑" w:hAnsi="微软雅黑" w:eastAsia="微软雅黑" w:cs="微软雅黑"/>
      <w:color w:val="1F4D78"/>
      <w:sz w:val="22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0">
    <w:name w:val="Title"/>
    <w:qFormat/>
    <w:uiPriority w:val="0"/>
    <w:pPr>
      <w:spacing w:line="360" w:lineRule="auto"/>
    </w:pPr>
    <w:rPr>
      <w:rFonts w:ascii="微软雅黑" w:hAnsi="微软雅黑" w:eastAsia="微软雅黑" w:cs="微软雅黑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pPr>
      <w:spacing w:line="360" w:lineRule="auto"/>
    </w:pPr>
    <w:rPr>
      <w:rFonts w:ascii="微软雅黑" w:hAnsi="微软雅黑" w:eastAsia="微软雅黑" w:cs="微软雅黑"/>
      <w:sz w:val="22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TotalTime>0</TotalTime>
  <ScaleCrop>false</ScaleCrop>
  <LinksUpToDate>false</LinksUpToDate>
  <Application>WPS Office_12.1.26046.26046_F1E327BC-269C-435d-A152-05C5408002CA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xxxue</cp:lastModifiedBy>
  <dcterms:modified xsi:type="dcterms:W3CDTF">2026-08-23T17:57:58Z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0BAD1DA5F96FE67826C48A6A63B6CF80_42</vt:lpwstr>
  </property>
</Properties>
</file>